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proofErr w:type="gramStart"/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Pr="00745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9C33D7">
        <w:rPr>
          <w:rFonts w:ascii="Times New Roman" w:hAnsi="Times New Roman" w:cs="Times New Roman"/>
          <w:sz w:val="28"/>
          <w:szCs w:val="28"/>
        </w:rPr>
        <w:t>Межрайонной ИФНС России №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A815B4">
        <w:rPr>
          <w:rFonts w:ascii="Times New Roman" w:hAnsi="Times New Roman" w:cs="Times New Roman"/>
          <w:sz w:val="28"/>
          <w:szCs w:val="28"/>
        </w:rPr>
        <w:t>58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A815B4">
        <w:rPr>
          <w:rFonts w:ascii="Times New Roman" w:hAnsi="Times New Roman" w:cs="Times New Roman"/>
          <w:sz w:val="28"/>
          <w:szCs w:val="28"/>
        </w:rPr>
        <w:t>58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815B4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Pr="00A815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815B4" w:rsidRPr="00A815B4">
        <w:rPr>
          <w:rFonts w:ascii="Times New Roman" w:hAnsi="Times New Roman" w:cs="Times New Roman"/>
          <w:sz w:val="28"/>
          <w:szCs w:val="28"/>
        </w:rPr>
        <w:t>4</w:t>
      </w:r>
      <w:r w:rsidRPr="00A815B4">
        <w:rPr>
          <w:rFonts w:ascii="Times New Roman" w:hAnsi="Times New Roman" w:cs="Times New Roman"/>
          <w:sz w:val="28"/>
          <w:szCs w:val="28"/>
        </w:rPr>
        <w:t>,</w:t>
      </w:r>
      <w:r w:rsidR="00A815B4" w:rsidRPr="00A815B4">
        <w:rPr>
          <w:rFonts w:ascii="Times New Roman" w:hAnsi="Times New Roman" w:cs="Times New Roman"/>
          <w:sz w:val="28"/>
          <w:szCs w:val="28"/>
        </w:rPr>
        <w:t>7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A815B4">
        <w:rPr>
          <w:rFonts w:ascii="Times New Roman" w:hAnsi="Times New Roman" w:cs="Times New Roman"/>
          <w:sz w:val="28"/>
          <w:szCs w:val="28"/>
        </w:rPr>
        <w:t xml:space="preserve">3,4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DD79B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AF4B96">
        <w:rPr>
          <w:rFonts w:ascii="Times New Roman" w:hAnsi="Times New Roman" w:cs="Times New Roman"/>
          <w:sz w:val="28"/>
          <w:szCs w:val="28"/>
        </w:rPr>
        <w:t>10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Default="00CC307E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F4B96">
        <w:rPr>
          <w:rFonts w:ascii="Times New Roman" w:hAnsi="Times New Roman" w:cs="Times New Roman"/>
          <w:sz w:val="28"/>
          <w:szCs w:val="28"/>
        </w:rPr>
        <w:t>10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в 2022 году контрольно-надзорных мероприятий в отношении подконтрольных субъектов должностными лицами Межрайонной ИФНС России №7 по Ленинградской области составлено 88 протоколов об административных правонарушениях: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69 случаях за нарушение обязательных требований, связанных с неприменением ККТ в установленных законодательством Российской Федерации случаях;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19 случаях за нарушение обязательных требований, связанных с применением ККТ,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установленным требованиям.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административного производства к административной ответственности привлечено 89 налогоплательщиков. В 55 случаях налогоплательщики привлечены к административной ответственности в виде предупреждения. В 33 случаях назначено административное наказание в виде административного штрафа на общую сумму  4 727,5 тыс. рублей.</w:t>
      </w:r>
    </w:p>
    <w:p w:rsidR="00163548" w:rsidRPr="00745C34" w:rsidRDefault="00163548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</w:t>
      </w:r>
      <w:r w:rsidR="0026202F" w:rsidRPr="00632845">
        <w:rPr>
          <w:rFonts w:ascii="Times New Roman" w:hAnsi="Times New Roman" w:cs="Times New Roman"/>
          <w:sz w:val="28"/>
          <w:szCs w:val="28"/>
        </w:rPr>
        <w:t>отношении 2</w:t>
      </w:r>
      <w:r w:rsidR="00EA4D79" w:rsidRPr="00632845">
        <w:rPr>
          <w:rFonts w:ascii="Times New Roman" w:hAnsi="Times New Roman" w:cs="Times New Roman"/>
          <w:sz w:val="28"/>
          <w:szCs w:val="28"/>
        </w:rPr>
        <w:t>0</w:t>
      </w:r>
      <w:r w:rsidR="0026202F" w:rsidRPr="00632845">
        <w:rPr>
          <w:rFonts w:ascii="Times New Roman" w:hAnsi="Times New Roman" w:cs="Times New Roman"/>
          <w:sz w:val="28"/>
          <w:szCs w:val="28"/>
        </w:rPr>
        <w:t>организаций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и </w:t>
      </w:r>
      <w:r w:rsidR="00632845">
        <w:rPr>
          <w:rFonts w:ascii="Times New Roman" w:hAnsi="Times New Roman" w:cs="Times New Roman"/>
          <w:sz w:val="28"/>
          <w:szCs w:val="28"/>
        </w:rPr>
        <w:t>228</w:t>
      </w:r>
      <w:r w:rsidR="0026202F" w:rsidRPr="00745C34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C5726E">
        <w:rPr>
          <w:rFonts w:ascii="Times New Roman" w:hAnsi="Times New Roman" w:cs="Times New Roman"/>
          <w:sz w:val="28"/>
          <w:szCs w:val="28"/>
        </w:rPr>
        <w:t>ей</w:t>
      </w:r>
      <w:r w:rsidR="0026202F"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006946">
        <w:rPr>
          <w:rFonts w:ascii="Times New Roman" w:hAnsi="Times New Roman" w:cs="Times New Roman"/>
          <w:sz w:val="28"/>
          <w:szCs w:val="28"/>
        </w:rPr>
        <w:t>257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006946">
        <w:rPr>
          <w:rFonts w:ascii="Times New Roman" w:hAnsi="Times New Roman" w:cs="Times New Roman"/>
          <w:sz w:val="28"/>
          <w:szCs w:val="28"/>
        </w:rPr>
        <w:t>2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C604C4" w:rsidRPr="00745C34">
        <w:rPr>
          <w:rFonts w:ascii="Times New Roman" w:hAnsi="Times New Roman" w:cs="Times New Roman"/>
          <w:sz w:val="28"/>
          <w:szCs w:val="28"/>
        </w:rPr>
        <w:lastRenderedPageBreak/>
        <w:t>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х </w:t>
      </w:r>
      <w:r w:rsidR="00C67470" w:rsidRPr="00006946">
        <w:rPr>
          <w:rFonts w:ascii="Times New Roman" w:hAnsi="Times New Roman" w:cs="Times New Roman"/>
          <w:sz w:val="28"/>
          <w:szCs w:val="28"/>
        </w:rPr>
        <w:t>(0,7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B95B57">
        <w:rPr>
          <w:rFonts w:ascii="Times New Roman" w:hAnsi="Times New Roman" w:cs="Times New Roman"/>
          <w:sz w:val="28"/>
          <w:szCs w:val="28"/>
        </w:rPr>
        <w:t>40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EA4D79">
        <w:rPr>
          <w:rFonts w:ascii="Times New Roman" w:hAnsi="Times New Roman" w:cs="Times New Roman"/>
          <w:sz w:val="28"/>
          <w:szCs w:val="28"/>
        </w:rPr>
        <w:t>ов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946">
        <w:rPr>
          <w:rFonts w:ascii="Times New Roman" w:hAnsi="Times New Roman" w:cs="Times New Roman"/>
          <w:sz w:val="28"/>
          <w:szCs w:val="28"/>
        </w:rPr>
        <w:t xml:space="preserve"> О</w:t>
      </w:r>
      <w:r w:rsidR="00886FBE" w:rsidRPr="00745C34">
        <w:rPr>
          <w:rFonts w:ascii="Times New Roman" w:hAnsi="Times New Roman" w:cs="Times New Roman"/>
          <w:sz w:val="28"/>
          <w:szCs w:val="28"/>
        </w:rPr>
        <w:t>тказ</w:t>
      </w:r>
      <w:r w:rsidR="00006946">
        <w:rPr>
          <w:rFonts w:ascii="Times New Roman" w:hAnsi="Times New Roman" w:cs="Times New Roman"/>
          <w:sz w:val="28"/>
          <w:szCs w:val="28"/>
        </w:rPr>
        <w:t>ов контролируемых лиц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от проведения профилактического визита</w:t>
      </w:r>
      <w:r w:rsidR="00006946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886FBE" w:rsidRPr="00745C34">
        <w:rPr>
          <w:rFonts w:ascii="Times New Roman" w:hAnsi="Times New Roman" w:cs="Times New Roman"/>
          <w:sz w:val="28"/>
          <w:szCs w:val="28"/>
        </w:rPr>
        <w:t>.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745C34" w:rsidRDefault="00B32A54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Так за 2022 год в адрес пользователей ККТ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AF3501">
        <w:rPr>
          <w:rFonts w:ascii="Times New Roman" w:hAnsi="Times New Roman" w:cs="Times New Roman"/>
          <w:sz w:val="28"/>
          <w:szCs w:val="28"/>
        </w:rPr>
        <w:t>1903</w:t>
      </w:r>
      <w:r w:rsidRPr="00745C34">
        <w:rPr>
          <w:rFonts w:ascii="Times New Roman" w:hAnsi="Times New Roman" w:cs="Times New Roman"/>
          <w:sz w:val="28"/>
          <w:szCs w:val="28"/>
        </w:rPr>
        <w:t>информационн</w:t>
      </w:r>
      <w:r w:rsidR="00BD1016">
        <w:rPr>
          <w:rFonts w:ascii="Times New Roman" w:hAnsi="Times New Roman" w:cs="Times New Roman"/>
          <w:sz w:val="28"/>
          <w:szCs w:val="28"/>
        </w:rPr>
        <w:t>ых пис</w:t>
      </w:r>
      <w:r w:rsidR="00EA4D79">
        <w:rPr>
          <w:rFonts w:ascii="Times New Roman" w:hAnsi="Times New Roman" w:cs="Times New Roman"/>
          <w:sz w:val="28"/>
          <w:szCs w:val="28"/>
        </w:rPr>
        <w:t>ь</w:t>
      </w:r>
      <w:r w:rsidR="00BD1016">
        <w:rPr>
          <w:rFonts w:ascii="Times New Roman" w:hAnsi="Times New Roman" w:cs="Times New Roman"/>
          <w:sz w:val="28"/>
          <w:szCs w:val="28"/>
        </w:rPr>
        <w:t>м</w:t>
      </w:r>
      <w:r w:rsidR="00EA4D79">
        <w:rPr>
          <w:rFonts w:ascii="Times New Roman" w:hAnsi="Times New Roman" w:cs="Times New Roman"/>
          <w:sz w:val="28"/>
          <w:szCs w:val="28"/>
        </w:rPr>
        <w:t>а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745C34">
        <w:rPr>
          <w:rFonts w:ascii="Times New Roman" w:hAnsi="Times New Roman" w:cs="Times New Roman"/>
          <w:sz w:val="28"/>
          <w:szCs w:val="28"/>
        </w:rPr>
        <w:t>.</w:t>
      </w:r>
    </w:p>
    <w:p w:rsidR="005F0EB0" w:rsidRDefault="00C90AC2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ИФНС России №7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DD79B9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D79B9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0,87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45" w:rsidRDefault="00632845" w:rsidP="00FA7CC7">
      <w:pPr>
        <w:spacing w:after="0" w:line="240" w:lineRule="auto"/>
      </w:pPr>
      <w:r>
        <w:separator/>
      </w:r>
    </w:p>
  </w:endnote>
  <w:endnote w:type="continuationSeparator" w:id="1">
    <w:p w:rsidR="00632845" w:rsidRDefault="00632845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45" w:rsidRDefault="00632845" w:rsidP="00FA7CC7">
      <w:pPr>
        <w:spacing w:after="0" w:line="240" w:lineRule="auto"/>
      </w:pPr>
      <w:r>
        <w:separator/>
      </w:r>
    </w:p>
  </w:footnote>
  <w:footnote w:type="continuationSeparator" w:id="1">
    <w:p w:rsidR="00632845" w:rsidRDefault="00632845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632845" w:rsidRPr="00057856" w:rsidRDefault="001D1A01" w:rsidP="00BA7216">
        <w:pPr>
          <w:pStyle w:val="a8"/>
          <w:jc w:val="center"/>
        </w:pPr>
        <w:r>
          <w:fldChar w:fldCharType="begin"/>
        </w:r>
        <w:r w:rsidR="00632845">
          <w:instrText>PAGE   \* MERGEFORMAT</w:instrText>
        </w:r>
        <w:r>
          <w:fldChar w:fldCharType="separate"/>
        </w:r>
        <w:r w:rsidR="00DD79B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06946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1A01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3F5167"/>
    <w:rsid w:val="00416F47"/>
    <w:rsid w:val="0043335F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0A1A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32845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33D7"/>
    <w:rsid w:val="009C755F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815B4"/>
    <w:rsid w:val="00AA202B"/>
    <w:rsid w:val="00AA6085"/>
    <w:rsid w:val="00AB1190"/>
    <w:rsid w:val="00AB2D48"/>
    <w:rsid w:val="00AB2E0B"/>
    <w:rsid w:val="00AE7690"/>
    <w:rsid w:val="00AF3501"/>
    <w:rsid w:val="00AF4B96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5B57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90AC2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D293D"/>
    <w:rsid w:val="00DD79B9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A807-1B70-4A24-AE4E-64FC3D2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7</cp:revision>
  <cp:lastPrinted>2020-03-02T11:52:00Z</cp:lastPrinted>
  <dcterms:created xsi:type="dcterms:W3CDTF">2023-02-20T11:32:00Z</dcterms:created>
  <dcterms:modified xsi:type="dcterms:W3CDTF">2023-02-22T13:08:00Z</dcterms:modified>
</cp:coreProperties>
</file>